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7" w:rsidRDefault="000F054E">
      <w:pPr>
        <w:jc w:val="center"/>
      </w:pPr>
      <w:r>
        <w:rPr>
          <w:noProof/>
        </w:rPr>
        <w:drawing>
          <wp:inline distT="0" distB="0" distL="0" distR="0">
            <wp:extent cx="2024055" cy="1282524"/>
            <wp:effectExtent l="0" t="0" r="0" b="0"/>
            <wp:docPr id="2" name="image1.png" descr="C:\Users\^\Desktop\Управление документы\ТГПУ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^\Desktop\Управление документы\ТГПУ логотип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55" cy="1282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0B7" w:rsidRDefault="00C160B7">
      <w:pPr>
        <w:jc w:val="center"/>
      </w:pPr>
    </w:p>
    <w:p w:rsidR="00C160B7" w:rsidRDefault="000F05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комитет Всероссийской с международным участием научно-практической конференции «Детская книга в цифровую эпоху» (2021)</w:t>
      </w:r>
    </w:p>
    <w:p w:rsidR="00C160B7" w:rsidRDefault="00C160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КОЛЛЕГИ!</w:t>
      </w:r>
    </w:p>
    <w:p w:rsidR="00C160B7" w:rsidRDefault="00C444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Приглашаем в</w:t>
      </w:r>
      <w:r w:rsidR="000F054E">
        <w:rPr>
          <w:rFonts w:ascii="Times New Roman" w:eastAsia="Times New Roman" w:hAnsi="Times New Roman" w:cs="Times New Roman"/>
          <w:sz w:val="24"/>
          <w:szCs w:val="24"/>
        </w:rPr>
        <w:t xml:space="preserve">ас принять участие во </w:t>
      </w:r>
      <w:r w:rsidR="000F054E">
        <w:rPr>
          <w:rFonts w:ascii="Times New Roman" w:eastAsia="Times New Roman" w:hAnsi="Times New Roman" w:cs="Times New Roman"/>
          <w:b/>
          <w:sz w:val="24"/>
          <w:szCs w:val="24"/>
        </w:rPr>
        <w:t>Всероссийской с международным участием</w:t>
      </w:r>
      <w:r w:rsidR="000F054E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научно-практической конференции «Детская книга в цифровую эпоху», которая состоится </w:t>
      </w:r>
      <w:r w:rsidR="000F054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2-3 декабря 2021 г. </w:t>
      </w:r>
      <w:r w:rsidR="000F054E">
        <w:rPr>
          <w:rFonts w:ascii="Times New Roman" w:eastAsia="Times New Roman" w:hAnsi="Times New Roman" w:cs="Times New Roman"/>
          <w:sz w:val="24"/>
          <w:szCs w:val="24"/>
        </w:rPr>
        <w:t xml:space="preserve">в Томском государственном педагогическом университете. Конференция приурочена к 130-летнему юбилею детского писателя Александра </w:t>
      </w:r>
      <w:proofErr w:type="spellStart"/>
      <w:r w:rsidR="000F054E">
        <w:rPr>
          <w:rFonts w:ascii="Times New Roman" w:eastAsia="Times New Roman" w:hAnsi="Times New Roman" w:cs="Times New Roman"/>
          <w:sz w:val="24"/>
          <w:szCs w:val="24"/>
        </w:rPr>
        <w:t>Мелентьевича</w:t>
      </w:r>
      <w:proofErr w:type="spellEnd"/>
      <w:r w:rsidR="000F054E">
        <w:rPr>
          <w:rFonts w:ascii="Times New Roman" w:eastAsia="Times New Roman" w:hAnsi="Times New Roman" w:cs="Times New Roman"/>
          <w:sz w:val="24"/>
          <w:szCs w:val="24"/>
        </w:rPr>
        <w:t xml:space="preserve"> Волкова.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участию приглашаются</w:t>
      </w:r>
      <w:r>
        <w:rPr>
          <w:rFonts w:ascii="Times New Roman" w:eastAsia="Times New Roman" w:hAnsi="Times New Roman" w:cs="Times New Roman"/>
          <w:sz w:val="24"/>
          <w:szCs w:val="24"/>
        </w:rPr>
        <w:t>: российские и зарубежные ученые, работники вузов, общеобразовательных и средни</w:t>
      </w:r>
      <w:r w:rsidR="001338D4">
        <w:rPr>
          <w:rFonts w:ascii="Times New Roman" w:eastAsia="Times New Roman" w:hAnsi="Times New Roman" w:cs="Times New Roman"/>
          <w:sz w:val="24"/>
          <w:szCs w:val="24"/>
        </w:rPr>
        <w:t xml:space="preserve">х профессиональных учреждений,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организаций дополнительного образования, библиотек,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издательств, </w:t>
      </w:r>
      <w:r>
        <w:rPr>
          <w:rFonts w:ascii="Times New Roman" w:eastAsia="Times New Roman" w:hAnsi="Times New Roman" w:cs="Times New Roman"/>
          <w:sz w:val="24"/>
          <w:szCs w:val="24"/>
        </w:rPr>
        <w:t>НКО, представители родительского сообщества, а также студенты, магистранты и аспиранты.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РАБОЧИЙ ЯЗЫК</w:t>
      </w:r>
      <w:r>
        <w:rPr>
          <w:rFonts w:ascii="Times New Roman" w:eastAsia="Times New Roman" w:hAnsi="Times New Roman" w:cs="Times New Roman"/>
          <w:sz w:val="24"/>
          <w:szCs w:val="24"/>
        </w:rPr>
        <w:t>: русский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конференция проводится в смешанном (очно и онлайн) формате.  </w:t>
      </w:r>
    </w:p>
    <w:p w:rsidR="00C160B7" w:rsidRDefault="000F054E">
      <w:pPr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УЧАСТИЯ В КОНФЕРЕНЦИИ: </w:t>
      </w:r>
    </w:p>
    <w:p w:rsidR="00C160B7" w:rsidRDefault="000F054E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очное участие с докладом</w:t>
      </w:r>
    </w:p>
    <w:p w:rsidR="00C160B7" w:rsidRDefault="00C444E3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="000F054E">
        <w:rPr>
          <w:rFonts w:ascii="Times New Roman" w:eastAsia="Times New Roman" w:hAnsi="Times New Roman" w:cs="Times New Roman"/>
          <w:sz w:val="24"/>
          <w:szCs w:val="24"/>
        </w:rPr>
        <w:t>участие с докладом</w:t>
      </w:r>
    </w:p>
    <w:p w:rsidR="00C160B7" w:rsidRDefault="000F054E">
      <w:pPr>
        <w:numPr>
          <w:ilvl w:val="0"/>
          <w:numId w:val="1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слушатель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НЕ КОНКРЕТИЗИРОВАТЬ, ОСТАВИТЬ ПЕРВЫЕ ДВЕ ФОРМУЛИРОВКИ</w:t>
      </w:r>
    </w:p>
    <w:p w:rsidR="00C160B7" w:rsidRDefault="00C444E3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ПРОБЛЕМАТИКА </w:t>
      </w:r>
      <w:r w:rsidR="000F05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НАПРАВЛЕНИЯ КОНФЕРЕНЦИИ</w:t>
      </w:r>
      <w:r w:rsidR="000F05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C160B7" w:rsidRDefault="00C160B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Конференция станет площадкой для теоретического осмысления современных глобальных вызовов, определяющих изменение форматов детской книги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бумажных, электронных, цифровых)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появление новой генерации цифровых читателей, а также для исследования читательских практик подрастающего поколения, позволяющих выработать корпус оптимальных методик приобщения к чтению и развития культуры детского чтения в цифровую эпоху. </w:t>
      </w:r>
    </w:p>
    <w:p w:rsidR="00C160B7" w:rsidRDefault="00C160B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Направления конференции:</w:t>
      </w:r>
    </w:p>
    <w:p w:rsidR="00C160B7" w:rsidRDefault="00C160B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Творчество А.М. Волкова в контексте развития детской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adult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литературы</w:t>
      </w:r>
      <w:r w:rsidR="00C444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Феномен детской книги сегодня</w:t>
      </w:r>
      <w:r w:rsidR="00C444E3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.</w:t>
      </w: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Психолого-педагогический потенциал чтения в цифровую эпоху</w:t>
      </w:r>
      <w:r w:rsidR="00C444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Музейная педагогика и музейные форматы организации семейного и детского чтения</w:t>
      </w:r>
      <w:r w:rsidR="00C444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Методика приобщения к чтению и развития культуры чтения в цифровую эпоху</w:t>
      </w:r>
      <w:r w:rsidR="00C444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160B7" w:rsidRDefault="000F054E">
      <w:pPr>
        <w:numPr>
          <w:ilvl w:val="0"/>
          <w:numId w:val="3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Детская художественная литература в коррекционно-развивающей работе. </w:t>
      </w:r>
    </w:p>
    <w:p w:rsidR="00C160B7" w:rsidRDefault="00C160B7">
      <w:pPr>
        <w:tabs>
          <w:tab w:val="left" w:pos="-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КОНТРОЛЬНЫЕ ДАТЫ</w:t>
      </w: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r w:rsidR="001338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 заявок и регистрация: до 22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ноября 2021 г.</w:t>
      </w: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Проведение конференции: 2-3 декабря 2021 г.</w:t>
      </w: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Прием рукописей статей: до 1 декабря включительно 2021 г.</w:t>
      </w: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Публикация сборника (РИНЦ): 28 февраля 2022 г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.</w:t>
      </w:r>
    </w:p>
    <w:p w:rsidR="00C160B7" w:rsidRDefault="00C160B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0B7" w:rsidRDefault="000F054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ПОРЯДОК УЧАСТИЯ В КОНФЕРЕНЦИИ</w:t>
      </w:r>
    </w:p>
    <w:p w:rsidR="00C160B7" w:rsidRDefault="00C160B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 w:rsidP="005618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конференции необходимо заполнить зая</w:t>
      </w:r>
      <w:r w:rsidR="007E3E37">
        <w:rPr>
          <w:rFonts w:ascii="Times New Roman" w:eastAsia="Times New Roman" w:hAnsi="Times New Roman" w:cs="Times New Roman"/>
          <w:sz w:val="24"/>
          <w:szCs w:val="24"/>
        </w:rPr>
        <w:t>вку (Приложение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Заявку необходимо направить </w:t>
      </w:r>
      <w:r w:rsidRPr="005618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до </w:t>
      </w:r>
      <w:r w:rsidRPr="005618E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22 ноября 2021</w:t>
      </w:r>
      <w:r w:rsidRPr="00561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8E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hyperlink r:id="rId7" w:history="1">
        <w:r w:rsidR="005618E1" w:rsidRPr="001A1AE7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volkovse2021@mail.ru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5618E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Всем зарегистрированным участникам будут отправлены программа конференции, ссылка на видеоконференцию. </w:t>
      </w:r>
    </w:p>
    <w:p w:rsidR="005618E1" w:rsidRDefault="005618E1" w:rsidP="005618E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p w:rsidR="00C160B7" w:rsidRDefault="000F054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материалам конференции планируется издание сборника статей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с постатейным размещением в Российском индексе научного цитирования (РИНЦ).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Публикация материалов в сборнике бесплатная. </w:t>
      </w:r>
    </w:p>
    <w:p w:rsidR="00C160B7" w:rsidRDefault="000F054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Критериями отбора материалов являются: оригинальность, соответствие направлениям работы конференции, актуальность, обоснованность. Не допускается направление в оргкомитет работ, которые были приняты к печати в других изданиях.</w:t>
      </w:r>
    </w:p>
    <w:p w:rsidR="005618E1" w:rsidRDefault="005618E1">
      <w:pPr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Желающим</w:t>
      </w:r>
      <w:r w:rsidR="000F054E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опубликовать статью в журналах ТГПУ, входящих в перечень ВАК, необходимо оформить работу в соответствии с требованиями журнала и отправить на адрес журнала: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</w:p>
    <w:p w:rsidR="00C160B7" w:rsidRPr="005618E1" w:rsidRDefault="000F054E" w:rsidP="005618E1">
      <w:pPr>
        <w:pStyle w:val="a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 w:rsidRPr="005618E1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Вестник ТГПУ»: </w:t>
      </w:r>
      <w:hyperlink r:id="rId8" w:history="1">
        <w:r w:rsidR="005618E1" w:rsidRPr="005618E1">
          <w:rPr>
            <w:rStyle w:val="ab"/>
            <w:rFonts w:ascii="Times New Roman" w:eastAsia="Times New Roman" w:hAnsi="Times New Roman" w:cs="Times New Roman"/>
            <w:sz w:val="23"/>
            <w:szCs w:val="23"/>
          </w:rPr>
          <w:t>https://vestnik.tspu.edu.ru/vestnik-for-authors.html</w:t>
        </w:r>
      </w:hyperlink>
      <w:r w:rsidR="005618E1" w:rsidRPr="005618E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160B7" w:rsidRPr="005618E1" w:rsidRDefault="000F054E" w:rsidP="005618E1">
      <w:pPr>
        <w:pStyle w:val="a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 w:rsidRPr="005618E1">
        <w:rPr>
          <w:rFonts w:ascii="Times New Roman" w:eastAsia="Times New Roman" w:hAnsi="Times New Roman" w:cs="Times New Roman"/>
          <w:sz w:val="23"/>
          <w:szCs w:val="23"/>
          <w:highlight w:val="white"/>
        </w:rPr>
        <w:t>«На</w:t>
      </w:r>
      <w:r w:rsidR="005618E1" w:rsidRPr="005618E1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учно-педагогическое обозрение»: </w:t>
      </w:r>
      <w:hyperlink r:id="rId9" w:history="1">
        <w:r w:rsidR="005618E1" w:rsidRPr="005618E1">
          <w:rPr>
            <w:rStyle w:val="ab"/>
            <w:rFonts w:ascii="Times New Roman" w:eastAsia="Times New Roman" w:hAnsi="Times New Roman" w:cs="Times New Roman"/>
            <w:sz w:val="23"/>
            <w:szCs w:val="23"/>
          </w:rPr>
          <w:t>https://npo.tspu.edu.ru/npo-for-authors.html</w:t>
        </w:r>
      </w:hyperlink>
      <w:r w:rsidR="005618E1" w:rsidRPr="005618E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Участие в конференции не является гарантией принятия статьи её участника к публикации! Статьи принимаются в журналы на основ</w:t>
      </w:r>
      <w:r w:rsidR="005618E1">
        <w:rPr>
          <w:rFonts w:ascii="Times New Roman" w:eastAsia="Times New Roman" w:hAnsi="Times New Roman" w:cs="Times New Roman"/>
          <w:sz w:val="23"/>
          <w:szCs w:val="23"/>
          <w:highlight w:val="white"/>
        </w:rPr>
        <w:t>ании положительного результата «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слепого</w:t>
      </w:r>
      <w:r w:rsidR="005618E1">
        <w:rPr>
          <w:rFonts w:ascii="Times New Roman" w:eastAsia="Times New Roman" w:hAnsi="Times New Roman" w:cs="Times New Roman"/>
          <w:sz w:val="23"/>
          <w:szCs w:val="23"/>
          <w:highlight w:val="white"/>
        </w:rPr>
        <w:t>»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рецензирования. </w:t>
      </w:r>
    </w:p>
    <w:p w:rsidR="00C160B7" w:rsidRDefault="000F054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Выход сборника материалов конференции планируется 28 февраля 2022 года. Сборник высылается авторам в электронном виде на адрес электронной почты, указанный при регистрации. 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Требования к публикации: Приложение 2.</w:t>
      </w:r>
    </w:p>
    <w:p w:rsidR="00C160B7" w:rsidRDefault="000F054E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Документы, необходимые для публикации рукописей статей: Приложения 3 и 4.</w:t>
      </w:r>
    </w:p>
    <w:p w:rsidR="00C160B7" w:rsidRDefault="000F054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Сертификат участника конференции высылается авторам в электронном виде на адрес электронной почты, указанный при регистрации.</w:t>
      </w:r>
    </w:p>
    <w:p w:rsidR="00C160B7" w:rsidRDefault="000F054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КОНТАКТЫ:</w:t>
      </w:r>
    </w:p>
    <w:p w:rsidR="00C160B7" w:rsidRDefault="00C160B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160B7" w:rsidRDefault="000F054E" w:rsidP="005618E1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вопросам, пожалуйста, обращайт</w:t>
      </w:r>
      <w:r w:rsidR="005618E1">
        <w:rPr>
          <w:rFonts w:ascii="Times New Roman" w:eastAsia="Times New Roman" w:hAnsi="Times New Roman" w:cs="Times New Roman"/>
          <w:sz w:val="24"/>
          <w:szCs w:val="24"/>
        </w:rPr>
        <w:t xml:space="preserve">есь к PR-менеджеру конференции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Власовой Ольге Геннадьевне, г. Томск,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212. Тел.: +7 (3822) 311-441.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3B5D30" w:rsidRPr="003C64F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volkovse2021@mail.ru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5618E1" w:rsidRDefault="005618E1" w:rsidP="005618E1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B5D30" w:rsidRDefault="003B5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Сайт конференции: </w:t>
      </w:r>
      <w:hyperlink r:id="rId11" w:history="1">
        <w:r w:rsidRPr="003C64F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https://www.tspu.edu.ru/volkov</w:t>
        </w:r>
      </w:hyperlink>
    </w:p>
    <w:p w:rsidR="001338D4" w:rsidRDefault="001338D4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tabs>
          <w:tab w:val="left" w:pos="3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C160B7" w:rsidRDefault="00C160B7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160B7">
        <w:tc>
          <w:tcPr>
            <w:tcW w:w="9345" w:type="dxa"/>
            <w:gridSpan w:val="2"/>
          </w:tcPr>
          <w:p w:rsidR="00C160B7" w:rsidRDefault="000F054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E691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седаниях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 заявки для преподавателей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9138"/>
              </w:rPr>
              <w:t xml:space="preserve"> </w:t>
            </w: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5618E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</w:t>
            </w:r>
            <w:r w:rsidR="000F054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учебного заведения, почтовый адрес с индексом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Ученая степень (при наличии)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(очное участие с докладом, онлайн участие с докладом, слушатель)</w:t>
            </w:r>
          </w:p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:rsidR="00C160B7" w:rsidRDefault="00C160B7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C160B7">
        <w:trPr>
          <w:trHeight w:val="195"/>
        </w:trPr>
        <w:tc>
          <w:tcPr>
            <w:tcW w:w="9345" w:type="dxa"/>
            <w:gridSpan w:val="2"/>
          </w:tcPr>
          <w:p w:rsidR="00C160B7" w:rsidRDefault="000F054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Форма заявки для студентов, магистрантов и аспирантов </w:t>
            </w: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5618E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</w:t>
            </w:r>
            <w:r w:rsidR="000F054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учебного заведения, почтовый адрес с индексом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специальность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научного руководителя, должность, ученая степень (если есть)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(очное участие с докладом, онлайн участие с докладом, слушатель)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160B7">
        <w:tc>
          <w:tcPr>
            <w:tcW w:w="4672" w:type="dxa"/>
          </w:tcPr>
          <w:p w:rsidR="00C160B7" w:rsidRDefault="000F054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 (рабочий), (мобильный)</w:t>
            </w:r>
          </w:p>
        </w:tc>
        <w:tc>
          <w:tcPr>
            <w:tcW w:w="4673" w:type="dxa"/>
          </w:tcPr>
          <w:p w:rsidR="00C160B7" w:rsidRDefault="00C160B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:rsidR="00C160B7" w:rsidRDefault="00C160B7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338D4" w:rsidRDefault="001338D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338D4" w:rsidRDefault="001338D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C160B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0F054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Приложение 2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Правила оформления и структура научной статьи</w:t>
      </w:r>
    </w:p>
    <w:p w:rsidR="00C160B7" w:rsidRDefault="000F054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Объем: 3-6 страниц (Внимание! Статьи объемом менее 3-х страниц и более 6-ти страниц не принимаются). Все статьи проходят проверку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!</w:t>
      </w:r>
    </w:p>
    <w:p w:rsidR="00C160B7" w:rsidRDefault="000F054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Формат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кегль 14, интервал «1», выравнивание по ширине, поля – 2.5 см со всех сторон, абзацный отступ 1 см, без переносов.</w:t>
      </w:r>
    </w:p>
    <w:p w:rsidR="00C160B7" w:rsidRDefault="00C160B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tbl>
      <w:tblPr>
        <w:tblStyle w:val="a7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87"/>
      </w:tblGrid>
      <w:tr w:rsidR="00C160B7">
        <w:trPr>
          <w:trHeight w:val="3518"/>
        </w:trPr>
        <w:tc>
          <w:tcPr>
            <w:tcW w:w="4978" w:type="dxa"/>
            <w:shd w:val="clear" w:color="auto" w:fill="auto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white"/>
              </w:rPr>
              <w:drawing>
                <wp:inline distT="0" distB="0" distL="0" distR="0">
                  <wp:extent cx="1619250" cy="19431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l="32155" t="19545" r="32005" b="26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160B7" w:rsidRDefault="00C1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087" w:type="dxa"/>
            <w:shd w:val="clear" w:color="auto" w:fill="auto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white"/>
              </w:rPr>
              <w:drawing>
                <wp:inline distT="0" distB="0" distL="114300" distR="114300">
                  <wp:extent cx="1609725" cy="18669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0B7" w:rsidRDefault="000F054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Научная статья должна содержать следующие разделы: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1.УДК (выравнивание по левому краю). 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2.ГРНТИ (выравнивание по левому краю; можно узнать на сайте: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http://www.grnti.ru/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3.Название (на русском и английском языках; выравнивание по центру; печатается полужирным начертанием заглавными буквами).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4.Фамилия, имя, отчество (полностью) автора, авторов.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5.Организация, город, страна участника/участников (при необходимости указать несколько организаций; выравнивание по центру; печатается курсивом).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6.Научный руководитель: И.О. Фамилия, ученая степень, ученое звание или должность.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7.Ключевые слова (на русском и английском языках; выравнивание по ширине).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8.Аннотация (до 100 слов; только на русском языке; выравнивание по ширине).</w:t>
      </w:r>
    </w:p>
    <w:p w:rsidR="00C160B7" w:rsidRDefault="000F05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9.Текст статьи (выравнивание по ширине; печатается через 1 интервал).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10.Список литературы (выравнивание по ширине). Внимание!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Цитируемые источники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приводятся в конце статьи после заголовка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порядке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упоминания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ПО АЛФАВИТУ</w:t>
      </w:r>
      <w:r>
        <w:rPr>
          <w:rFonts w:ascii="Times New Roman" w:eastAsia="Times New Roman" w:hAnsi="Times New Roman" w:cs="Times New Roman"/>
          <w:sz w:val="24"/>
          <w:szCs w:val="24"/>
        </w:rPr>
        <w:t>) в соответствии с ГОСТ Р 7.0.100-2018. Примеры библиографического описания указаны по ссылке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https://libserv.tspu.edu.ru/lib-forreaders/manual-for-studentworks.html</w:t>
      </w:r>
    </w:p>
    <w:p w:rsidR="00C160B7" w:rsidRDefault="000F0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(Приложение 2), а также анкету автора произведения (Приложение 3), передаваемого для размещения в НЭБ elibrary.ru. </w:t>
      </w:r>
    </w:p>
    <w:p w:rsidR="00C160B7" w:rsidRDefault="00C160B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C160B7" w:rsidRDefault="000F054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 оформления статьи </w:t>
      </w:r>
    </w:p>
    <w:p w:rsidR="00C160B7" w:rsidRDefault="000F05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373.24</w:t>
      </w:r>
    </w:p>
    <w:p w:rsidR="00C160B7" w:rsidRDefault="000F05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ГРНТИ 14.07.05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:rsidR="00C160B7" w:rsidRPr="001338D4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338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SYSTEM OF ORGANIZATION OF EDUCATIONAL WORK IN A SECONDARY COMPREHENSIVE SCHOOL</w:t>
      </w:r>
    </w:p>
    <w:p w:rsidR="00C160B7" w:rsidRPr="001338D4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П. Иванова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А. И.  Бергер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МАОУ «Средняя образовательная школа № 217», г. Новосибирск, Россия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руководитель: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наук. доц. кафедры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Ширяева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</w:t>
      </w:r>
    </w:p>
    <w:p w:rsidR="00C160B7" w:rsidRDefault="00C160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C160B7" w:rsidRPr="001338D4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8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 words:</w:t>
      </w:r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C160B7" w:rsidRDefault="00C1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 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[1, с. 2].</w:t>
      </w:r>
    </w:p>
    <w:p w:rsidR="00C160B7" w:rsidRDefault="000F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[1, с. 38–45; 2, с. 20].</w:t>
      </w:r>
    </w:p>
    <w:p w:rsidR="00C160B7" w:rsidRDefault="00C160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Бовина, И. Б. Социальная психология здоровья и болезни / И. Б. Бовина.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Академия, 2008. – 263 с.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Радуга, 2018. – 159 с.</w:t>
      </w:r>
    </w:p>
    <w:p w:rsidR="00C160B7" w:rsidRDefault="00C160B7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0B7" w:rsidRDefault="000F054E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 оформления таблицы</w:t>
      </w:r>
    </w:p>
    <w:p w:rsidR="00C160B7" w:rsidRDefault="000F05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C160B7" w:rsidRDefault="000F05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tbl>
      <w:tblPr>
        <w:tblStyle w:val="a8"/>
        <w:tblW w:w="9606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C160B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начале четверти, 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четверти,</w:t>
            </w:r>
          </w:p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160B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0B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0B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0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B7" w:rsidRDefault="00C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0B7" w:rsidRDefault="00C1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0B7" w:rsidRDefault="000F0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exсel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0B7" w:rsidRDefault="00C160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0B7" w:rsidRDefault="00C160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0B7" w:rsidRDefault="000F054E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Примеры библиографического описания по ГОСТу Р 7.0.100–2018</w:t>
      </w:r>
    </w:p>
    <w:p w:rsidR="00C160B7" w:rsidRDefault="00C160B7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1, 2, 3 авторов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Филиппова, А. Г. Российская социология детства: вчера, сегодня, завтра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А. Г. Филиппова.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Астерион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 – 195 с. – ISBN 978-5-00045-405-3.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М. В. История экономики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6-е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 – 350 с. – ISBN 978-5-406-01324-3.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Н. Муниципальное управление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2-е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2008. – 489 с. – ISBN 978-5- 406-04048-5.</w:t>
      </w:r>
    </w:p>
    <w:p w:rsidR="00C160B7" w:rsidRDefault="00C160B7">
      <w:pPr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4-х и более авторов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Е.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 Л. Потапова, А. Б. Смушкин.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Лань, 2019. – 173 с. – (Учебники для вузов.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литература). – ISBN 978-5-8114-3329-2.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Психодиагностика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И. Юматова, Е.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Вышквыркина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А. К. Белоусовой, И.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Юматовой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Ростов-на-Дону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Феникс, 2017. – 255 с. – (Высшее образование). – ISBN 978-5-222-26151-4.</w:t>
      </w:r>
    </w:p>
    <w:p w:rsidR="00C160B7" w:rsidRDefault="00C160B7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Многотомные издания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Жукова, Н. С. Инженерные системы и сооружения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:  в 3 ч. Ч. 1. Отопление и вентиляция / Н. С. Жукова, В. Н. Азаров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Волгоградский государственный технический университет. – Волгоград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 – 89, [3]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 – ISBN 978-5- 9948-2526-6.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Криминология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: в 2 т. Т. 2. Особенная часть / Ю.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Д. Малков,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2-е изд.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 – 284 с. – (Университеты России). – ISBN 978-5-534-00178-5.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Медведев, Д. А. Россия: становление правового государства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выступления, статьи, документы : в 3 т. / Д. А. Медведев.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Юридическая литература, 2010. – Т. 1. – 647 с. – ISBN 978-5-7260-1104-2.</w:t>
      </w:r>
    </w:p>
    <w:p w:rsidR="00C160B7" w:rsidRDefault="00C1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сборника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лингвистики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ТГУ, 1975.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4. – 110 с.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аспекты адаптивной физической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Томск, 2007. – 237 с. – ISBN 5-85117-204-5.</w:t>
      </w:r>
    </w:p>
    <w:p w:rsidR="00C160B7" w:rsidRDefault="00C160B7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Рецензия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кн.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Regnum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Рос. Архив, 1997. – 295 с.</w:t>
      </w:r>
    </w:p>
    <w:p w:rsidR="00C160B7" w:rsidRDefault="00C160B7">
      <w:pPr>
        <w:pStyle w:val="1"/>
        <w:keepLines w:val="0"/>
        <w:spacing w:before="0" w:after="0" w:line="240" w:lineRule="auto"/>
        <w:ind w:left="43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Законодательные материалы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№ 131-ФЗ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Проспект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 : Кодекс, 2017. – 158 с. – ISBN 978-5- 392-26365-3.</w:t>
      </w:r>
    </w:p>
    <w:p w:rsidR="00C160B7" w:rsidRDefault="00C160B7">
      <w:pPr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Pr="001338D4" w:rsidRDefault="000F054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Pr="001338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1338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338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иностранных</w:t>
      </w:r>
      <w:r w:rsidRPr="001338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языках</w:t>
      </w:r>
    </w:p>
    <w:p w:rsidR="00C160B7" w:rsidRPr="001338D4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Wiseman, T. The Money Motive / T. Wiseman. – </w:t>
      </w:r>
      <w:proofErr w:type="gramStart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Hodder &amp; Stoughton, 1974. – 285 p.</w:t>
      </w:r>
    </w:p>
    <w:p w:rsidR="00C160B7" w:rsidRPr="001338D4" w:rsidRDefault="000F054E">
      <w:pPr>
        <w:tabs>
          <w:tab w:val="left" w:pos="9356"/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Graham, R. J. Creating an environment for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succesful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/ R. J. Graham, R. L.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Englund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San </w:t>
      </w:r>
      <w:proofErr w:type="gramStart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Francisco :</w:t>
      </w:r>
      <w:proofErr w:type="gramEnd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Jossey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>-Bass, 1997. – 253 p.</w:t>
      </w:r>
    </w:p>
    <w:p w:rsidR="00C160B7" w:rsidRPr="001338D4" w:rsidRDefault="00C160B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ГОСТ Р 57618.1–2017. Инфраструктура маломерного флота. Общие</w:t>
      </w:r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1338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Small craft infrastructure.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Техречсервис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 – IV, 7 c.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полимербитумное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вяжущее для «сухого» ввода и способ его получения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2017101011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12.01.2017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19.12.2017 / С. Г. Белкин, А. У. Дьяченко. – 7 с. : ил.</w:t>
      </w:r>
    </w:p>
    <w:p w:rsidR="00C160B7" w:rsidRDefault="00C160B7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Неопубликованные документы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05.25.03 Библиотековедение,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библио-графоведение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Б. Б. Функциональная организация рабочей памяти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; Московский государственный университет им. М. В. Ломоносова. – Москва, 2017. – 44 с.</w:t>
      </w:r>
    </w:p>
    <w:p w:rsidR="00C160B7" w:rsidRDefault="00C160B7">
      <w:pPr>
        <w:pStyle w:val="1"/>
        <w:keepLines w:val="0"/>
        <w:spacing w:before="0" w:after="0" w:line="240" w:lineRule="auto"/>
        <w:ind w:left="43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Депонированные научные работы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 экономики города. – Москва, 2002. – 210 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ИНИОН РАН 15.02.2002, № 139876.</w:t>
      </w: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Сериальные издания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Академия здоровья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научно-популярная газета о здоровом образе жизни : приложение к журналу «Аквапарк» / учредитель «Фирма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– 2001, июнь. – Москва, 2001. – 8 полос.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Еженед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Актуальные проблемы современной науки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Спутник+, 2001.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Аудиоиздания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Гладков, Г. А. Как львенок и черепаха пели песню и другие сказки про Африку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[аудиокнига] / Г. А. Гладков ; исполняет : Г. Вицин [и др.].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Экстрафон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2002. – 1 CD-ROM (45 мин).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крана. – Формат записи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MP3.</w:t>
      </w:r>
    </w:p>
    <w:p w:rsidR="00C160B7" w:rsidRDefault="000F054E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 (иеромонах). Песни / иеромонах Роман.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духовного просвещения, 2002. – 1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пт. диск. – (Песнопения иеромонаха Романа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3).</w:t>
      </w:r>
    </w:p>
    <w:p w:rsidR="00C160B7" w:rsidRDefault="00C160B7">
      <w:pPr>
        <w:spacing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Большая Российская энциклопедия, 1996. – 1 CD-ROM.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титул. экрана.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Фролова, Е. А. Национальная экономика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– Томск : Изд-во ТГПУ, 2009.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титул. экрана. – Электронная версия печатной публикации. – URL: http://fulltext.tspu.edu.ru/LA/m2009-01.pdf (дата обращения: 19.02.2018). – Доступ из корпоративной сети ТГПУ.</w:t>
      </w:r>
    </w:p>
    <w:p w:rsidR="00C160B7" w:rsidRDefault="00C160B7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 сетевого распространения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литература, 1990. – 543 с. – URL: http://www.philosophy.ru/library/bahtin/rable.html#_ftn1, свободный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ата обращения: 12.10.2018).</w:t>
      </w:r>
    </w:p>
    <w:p w:rsidR="00C160B7" w:rsidRDefault="00C160B7">
      <w:pPr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Электронно-библиотечные системы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eLIBRARY.RU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библиотека: библиотека диссертаций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 / Российская государственная библиотека.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РГБ, 2003. – URL: http://diss.rsl.ru/?lang=ru (дата обращения: 20.07.2018).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читателей РГБ.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И. А. Введение в славянскую филологию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Флинта, 2017. – 302 с. – ISBN 978-5-9765-0933. – URL: http://biblioclub.ru/index.php?page=book&amp;id=103828 (да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 обращения: 21.12.2019).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пользователей.</w:t>
      </w: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Описание главы из книги</w:t>
      </w:r>
    </w:p>
    <w:p w:rsidR="00C160B7" w:rsidRDefault="000F054E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С. Библиотека как технологическая система / И.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Основы библиотечной технологии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учебно-методическое пособие. – Москва, 2003. – Гл. 3. – С. 32–41. – (Серия «Современная библиотека»).</w:t>
      </w:r>
    </w:p>
    <w:p w:rsidR="00C160B7" w:rsidRDefault="00C1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научного сборника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исторической реальности : сборник научных статей. – Санкт-Петербург, 2019. – С. 549– 554.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физической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материалы I Всероссийской научно-практической конференции. Томск, 2007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Томск, 2007. – С. 140–141.</w:t>
      </w:r>
    </w:p>
    <w:p w:rsidR="00C160B7" w:rsidRDefault="00C160B7">
      <w:pPr>
        <w:spacing w:after="0" w:line="276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продолжающегося издания</w:t>
      </w:r>
    </w:p>
    <w:p w:rsidR="00C160B7" w:rsidRDefault="000F05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Е. А. М. Ловягин как историк книги / И.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Книжное дело в России во второй половине XIX – начале XX 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сборник научных трудов. – Санкт- Петербург, 2000.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10. – С. 208–219.</w:t>
      </w: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журнала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Шабаловская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Т. Г. Бохан, И. Ю. Малкова [и др.] // Научно-педагогическое обозрение. – 2016.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2 (12). – С. 9-15.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:rsidR="00C160B7" w:rsidRDefault="00C160B7">
      <w:pPr>
        <w:spacing w:after="0" w:line="276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тома (выпуска) собрания сочинений, избранных сочинений и т. п.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Пушкин, А. С. Борис Годунов // Сочинения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3 т. – Москва, 1986. – Т. 2. – С. 432-437.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Иванов, Б. Ю. Горное управление / Б. Ю. Иванов // Горная энциклопедия. – Москва, 1986. – Т. 2. – С. 118-119.</w:t>
      </w:r>
    </w:p>
    <w:p w:rsidR="00C160B7" w:rsidRDefault="00C160B7">
      <w:pPr>
        <w:pStyle w:val="1"/>
        <w:keepLines w:val="0"/>
        <w:spacing w:before="71" w:after="0" w:line="240" w:lineRule="auto"/>
        <w:ind w:left="432"/>
        <w:jc w:val="center"/>
        <w:rPr>
          <w:rFonts w:ascii="Times New Roman" w:eastAsia="Times New Roman" w:hAnsi="Times New Roman" w:cs="Times New Roman"/>
          <w:b w:val="0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газеты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А. Чемпионы раз в 36 лет?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сборной по футболу Великобритании]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Спорт-экспресс. – 2002. – 24 мая.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Серебрякова, М. И. Дионисий не отпускает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фресках Ферапонтова монастыря,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Вологод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обл.] : беседа с директором музея Мариной Серебряковой // Век. – 2002. – 14-20 июня. – С. 9.</w:t>
      </w:r>
    </w:p>
    <w:p w:rsidR="00C160B7" w:rsidRDefault="00C160B7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160B7" w:rsidRDefault="000F054E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c076vd3shm94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электронного ресурса</w:t>
      </w:r>
    </w:p>
    <w:p w:rsidR="00C160B7" w:rsidRDefault="000F054E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Опаленный снег // Противостояние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Опаленный снег / DOKA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DOKA, 1998. – 2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пт. диска (CD-ROM).</w:t>
      </w:r>
    </w:p>
    <w:p w:rsidR="00C160B7" w:rsidRDefault="000F054E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противодействии коррупции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Федеральный закон от 25.12.2008 № 273-ФЗ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ред. от 26.07.2019 : принят Государственной Думой 19 декабря 2008 года : одобрен Советом Федерации 22 декабря 2008 года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надежная правовая поддержка : официальный сайт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 – URL: http://www.consultant.ru/document/cons_doc_LAW_82959/ (дата обращения: 25.06.2019).</w:t>
      </w:r>
    </w:p>
    <w:p w:rsidR="00C160B7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 научный журнал. – 2006. – URL: http://www.omsk.edu/article/vestnik-omgpu-21.pdf. – (дата обращения: 20.10.2019).</w:t>
      </w:r>
    </w:p>
    <w:p w:rsidR="00C160B7" w:rsidRDefault="000F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Tomsk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Bulletin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– 2012.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 (116). – С. 22–27. – URL: https://vestnik.tspu.edu.ru/archive.html?year=2012&amp;issue=1&amp;article_id=3236 (дата обращения: 05.02.2020).</w:t>
      </w:r>
    </w:p>
    <w:p w:rsidR="00C160B7" w:rsidRPr="001338D4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S. What is Meant by «Discourse analysis»? / S.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// Gent Universities. English Department. – 1998. – </w:t>
      </w:r>
      <w:proofErr w:type="gram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URL :</w:t>
      </w:r>
      <w:proofErr w:type="gram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http://bank.rug.ac.be/da/da.htm, free. – Title from screen.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:rsidR="00C160B7" w:rsidRPr="001338D4" w:rsidRDefault="000F05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Fukuyama, F. Social Capital and Civil Society / F. </w:t>
      </w:r>
      <w:proofErr w:type="gram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 ;</w:t>
      </w:r>
      <w:proofErr w:type="gram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The Institute of Public Policy ; George Mason University // International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Monetory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Fund. – October 1, 1999. – URL: </w:t>
      </w: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 xml:space="preserve">//http://www.imf.org/ external/ pubs/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ft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/seminar/ 1999/ reforms/ </w:t>
      </w:r>
      <w:proofErr w:type="spellStart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fukuyama.htm#I</w:t>
      </w:r>
      <w:proofErr w:type="spellEnd"/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1338D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:rsidR="00C160B7" w:rsidRPr="001338D4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8D4" w:rsidRPr="001338D4" w:rsidRDefault="001338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Pr="001338D4" w:rsidRDefault="00C160B7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160B7" w:rsidRDefault="000F054E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Приложение 3</w:t>
      </w:r>
    </w:p>
    <w:p w:rsidR="00C160B7" w:rsidRDefault="000F054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Анкета автора произведения, передаваемого для размещения</w:t>
      </w:r>
    </w:p>
    <w:p w:rsidR="00C160B7" w:rsidRDefault="000F054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Научной электронной библиотеке eLibrary.ru</w:t>
      </w:r>
    </w:p>
    <w:p w:rsidR="00C160B7" w:rsidRDefault="00C160B7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9"/>
        <w:tblW w:w="9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Учреждение, кафедра (структурное подразделение)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Учёная степень, Учёное звание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тел.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e-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Произведения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русском языке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английском языке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русском языке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английском языке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C1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160B7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обработкой персональных данных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Согласен(-на) / Не согласен(-на), подпись</w:t>
            </w:r>
          </w:p>
        </w:tc>
      </w:tr>
    </w:tbl>
    <w:p w:rsidR="00C160B7" w:rsidRDefault="00C160B7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8D4" w:rsidRDefault="001338D4" w:rsidP="001338D4">
      <w:pPr>
        <w:spacing w:after="0" w:line="261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Приложение 4</w:t>
      </w:r>
    </w:p>
    <w:p w:rsidR="00C160B7" w:rsidRDefault="000F054E">
      <w:pPr>
        <w:spacing w:after="0" w:line="261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Лицензионный договор</w:t>
      </w:r>
    </w:p>
    <w:p w:rsidR="00C160B7" w:rsidRDefault="000F054E">
      <w:pPr>
        <w:spacing w:after="20" w:line="261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передаче неисключительных прав на использование произведения</w:t>
      </w: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г. Томск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«____ »___________ 20___ г.</w:t>
      </w:r>
    </w:p>
    <w:p w:rsidR="00C160B7" w:rsidRDefault="000F054E">
      <w:pPr>
        <w:spacing w:after="0" w:line="298" w:lineRule="auto"/>
        <w:ind w:right="180" w:firstLine="7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Ректора Макаренко Андрея Николаевича, действующего на основании Устава, с одной стороны, и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 , именуемы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й(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160B7" w:rsidRDefault="000F054E">
      <w:pPr>
        <w:spacing w:after="0" w:line="298" w:lineRule="auto"/>
        <w:ind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дальнейшем Автор, с другой стороны, заключили между собой настоящий договор (далее - Договор) о нижеследующем.</w:t>
      </w:r>
    </w:p>
    <w:p w:rsidR="00C160B7" w:rsidRDefault="000F054E">
      <w:pPr>
        <w:spacing w:after="0" w:line="298" w:lineRule="auto"/>
        <w:ind w:left="38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1. ПРЕДМЕТ ДОГОВОРА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1.1.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4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 право на изготовление репринтных копий.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1.2.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Автор гарантирует, что является правообладателем исключительных прав на передаваемые Издателю Произведения.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1.3.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Территория, на которой допускается использование прав на Произведения, не ограничена.</w:t>
      </w:r>
    </w:p>
    <w:p w:rsidR="00C160B7" w:rsidRDefault="000F054E">
      <w:pPr>
        <w:spacing w:after="0" w:line="303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 ПРАВА И ОБЯЗАННОСТИ СТОРОН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Автор предоставляет Издателю неисключительные права на Произведения на срок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10 (Десять) лет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160B7" w:rsidRDefault="000F054E">
      <w:pPr>
        <w:spacing w:after="0" w:line="298" w:lineRule="auto"/>
        <w:ind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2 (Два)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месяца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 окончания предписанного десятилетнего срока, то срок действия неисключительных прав Издателю на Произведения автоматически пролонгируется на аналогичный срок. Количество пролонгаций не ограничено.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обязуется соблюдать предусмотренные действующим законодательством 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2.5.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2.7.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не предоставляет Автору отчеты об использовании Произведения.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2.8.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2.9.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Стороны договорились, что в соответствии со ст. 160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C160B7" w:rsidRDefault="00C160B7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338D4" w:rsidRDefault="001338D4">
      <w:pPr>
        <w:spacing w:after="0" w:line="29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160B7" w:rsidRDefault="000F054E">
      <w:pPr>
        <w:spacing w:after="0" w:line="29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 ОТВЕТСТВЕННОСТЬ СТОРОН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3.3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3.4.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Ответственность Автора по Договору ограничена суммой реального ущерба, причиненного Издателю.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3.5.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3.6.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3.7.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Настоящий Договор составлен в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2 (Двух)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экземплярах</w:t>
      </w:r>
      <w:r>
        <w:rPr>
          <w:rFonts w:ascii="Times New Roman" w:eastAsia="Times New Roman" w:hAnsi="Times New Roman" w:cs="Times New Roman"/>
          <w:sz w:val="18"/>
          <w:szCs w:val="18"/>
        </w:rPr>
        <w:t>, имеющих равную юридическую силу, по одному для каждой из Сторон.</w:t>
      </w:r>
    </w:p>
    <w:p w:rsidR="00C160B7" w:rsidRDefault="000F054E">
      <w:pPr>
        <w:spacing w:after="0" w:line="303" w:lineRule="auto"/>
        <w:ind w:firstLine="16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 РАЗМЕРЫ И ПОРЯДОК ВЫПЛАТЫ АВТОРСКОГО ГОНОРАРА</w:t>
      </w:r>
    </w:p>
    <w:p w:rsidR="00C160B7" w:rsidRDefault="000F054E">
      <w:pPr>
        <w:spacing w:after="0" w:line="298" w:lineRule="auto"/>
        <w:ind w:left="560" w:righ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4.1. Автор предоставляет Издателю права на использование Произведения на безвозмездной основе.</w:t>
      </w:r>
    </w:p>
    <w:p w:rsidR="00C160B7" w:rsidRDefault="000F05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5. ПЕРЕЧЕНЬ ПРОИЗВЕДЕНИЙ</w:t>
      </w:r>
    </w:p>
    <w:p w:rsidR="00C160B7" w:rsidRDefault="000F05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</w:t>
      </w:r>
    </w:p>
    <w:p w:rsidR="00C160B7" w:rsidRDefault="000F054E">
      <w:pPr>
        <w:spacing w:after="0" w:line="298" w:lineRule="auto"/>
        <w:ind w:right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 АДРЕСА И РЕКВИЗИТЫ СТОРОН</w:t>
      </w:r>
    </w:p>
    <w:p w:rsidR="00C160B7" w:rsidRDefault="00C160B7">
      <w:pPr>
        <w:spacing w:after="0" w:line="298" w:lineRule="auto"/>
        <w:ind w:right="20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5010"/>
      </w:tblGrid>
      <w:tr w:rsidR="00C160B7">
        <w:trPr>
          <w:trHeight w:val="376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Издатель:</w:t>
            </w:r>
          </w:p>
          <w:p w:rsidR="00C160B7" w:rsidRDefault="000F054E">
            <w:pPr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C160B7" w:rsidRDefault="000F054E">
            <w:pPr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634061,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ул. Киевская, 60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7018017907; 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КПП 701701001 УФК по Томской области (ТГПУ л/с 20656X70790) 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г.Томск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Р/с 40501810550042004500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БИК 046902001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000 000 000 000 000 00852</w:t>
            </w:r>
          </w:p>
          <w:p w:rsidR="00C160B7" w:rsidRDefault="000F054E">
            <w:pPr>
              <w:keepNext/>
              <w:keepLines/>
              <w:spacing w:after="0" w:line="29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69701000</w:t>
            </w:r>
          </w:p>
          <w:p w:rsidR="00C160B7" w:rsidRDefault="00C160B7">
            <w:pPr>
              <w:spacing w:after="0" w:line="298" w:lineRule="auto"/>
              <w:ind w:left="140" w:right="40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0B7" w:rsidRDefault="000F054E">
            <w:pPr>
              <w:spacing w:after="0" w:line="240" w:lineRule="auto"/>
              <w:ind w:left="140" w:right="40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Автор: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- при наличии)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страх.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свид-ва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выдан:__________________________________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 _____________________________</w:t>
            </w:r>
          </w:p>
          <w:p w:rsidR="00C160B7" w:rsidRDefault="000F054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 ___________________________</w:t>
            </w:r>
          </w:p>
        </w:tc>
      </w:tr>
    </w:tbl>
    <w:p w:rsidR="00C160B7" w:rsidRDefault="000F054E">
      <w:pPr>
        <w:numPr>
          <w:ilvl w:val="0"/>
          <w:numId w:val="3"/>
        </w:numPr>
        <w:spacing w:after="0" w:line="29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ПОДПИСИ СТОРОН</w:t>
      </w:r>
    </w:p>
    <w:p w:rsidR="00C160B7" w:rsidRDefault="00C160B7">
      <w:pPr>
        <w:spacing w:after="0" w:line="29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160B7" w:rsidRDefault="00C160B7">
      <w:pPr>
        <w:spacing w:after="0" w:line="29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Издателя: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От Автора:</w:t>
      </w:r>
    </w:p>
    <w:p w:rsidR="00C160B7" w:rsidRDefault="00C160B7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 А.Н. Макаренко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__________________/____________________</w:t>
      </w: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                    (расшифровка)</w:t>
      </w:r>
    </w:p>
    <w:p w:rsidR="00C160B7" w:rsidRDefault="000F054E">
      <w:pPr>
        <w:spacing w:after="0" w:line="298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160B7" w:rsidRDefault="00C160B7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160B7" w:rsidSect="005618E1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6E7"/>
    <w:multiLevelType w:val="multilevel"/>
    <w:tmpl w:val="113CAF34"/>
    <w:lvl w:ilvl="0">
      <w:start w:val="1"/>
      <w:numFmt w:val="bullet"/>
      <w:lvlText w:val="✔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536C5B"/>
    <w:multiLevelType w:val="hybridMultilevel"/>
    <w:tmpl w:val="3DD4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040D"/>
    <w:multiLevelType w:val="multilevel"/>
    <w:tmpl w:val="122C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64E82"/>
    <w:multiLevelType w:val="multilevel"/>
    <w:tmpl w:val="1C60F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7"/>
    <w:rsid w:val="000F054E"/>
    <w:rsid w:val="001338D4"/>
    <w:rsid w:val="003B5D30"/>
    <w:rsid w:val="005618E1"/>
    <w:rsid w:val="005B23AB"/>
    <w:rsid w:val="007E3E37"/>
    <w:rsid w:val="00C160B7"/>
    <w:rsid w:val="00C444E3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3B5D3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4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1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3B5D3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4E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tspu.edu.ru/vestnik-for-authors.html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volkovse2021@mail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spu.edu.ru/volk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lkovse20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o.tspu.edu.ru/npo-for-autho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</dc:creator>
  <cp:lastModifiedBy>Olga Varaxina</cp:lastModifiedBy>
  <cp:revision>5</cp:revision>
  <dcterms:created xsi:type="dcterms:W3CDTF">2021-09-30T10:10:00Z</dcterms:created>
  <dcterms:modified xsi:type="dcterms:W3CDTF">2021-10-06T07:58:00Z</dcterms:modified>
</cp:coreProperties>
</file>